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left="227" w:right="227"/>
        <w:jc w:val="center"/>
        <w:outlineLvl w:val="1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中建三局第三建设工程有限责任公司</w:t>
      </w:r>
    </w:p>
    <w:p>
      <w:pPr>
        <w:widowControl/>
        <w:spacing w:line="520" w:lineRule="atLeast"/>
        <w:ind w:left="227" w:right="227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届高校毕业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招聘简章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一、公司简介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中建三局第三建设工程有限责任公司是世界500强企业中建集团旗下中建三局的全资子公司，自1953年12月成立至今，始终以“听党指挥，建设祖国”为最高使命，是中建集团首家取得“三特三甲”资质的号码公司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在“十三五”期间累计新签合同额3043亿元、营业收入1462亿元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致力于成为最具价值创造力的国内领先、中建顶尖的建筑综合服务商。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二、企业实力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我们是中建集团首家取得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“三特三甲”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资质的号码公司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中建三局三公司是中建集团首家拥有行业顶尖“三特三甲”企业资质的三级单位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。69年历史积累深厚，“三特三甲”资质齐全，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公司深化拓展业务领域，形成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建筑行业全产业链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布局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，致力成为最具价值创造力的中建顶尖、国际领先的建筑综合服务商。主营业务全产业链布局，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涵盖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高端房建、基础设施（市政道路、大型桥梁、地下空间、机场站房、轨道交通等）、专业建造（高端机电安装、工业厂房、高级装饰、石油化工等）、国际业务、设计业务、投融资业务；新兴业务领域拼闯进发，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推进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融建业务、绿色产业、建筑科技产业化；优势产品线行业领先，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塑强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桥梁产品线、机场产品线、石化产品线、融建产品线、海外产品线。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我们是国家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高新技术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中建三局三公司是国家高新技术企业，一直走在行业巅峰前列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拥有近50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项中国建筑工程鲁班奖、中国国家优质工程奖，400余项省部级优质工程奖；拥有100余项核心技术，200余项国家专利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荣获中国建筑业创鲁班奖工程特别荣誉企业称号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。在超高层、大型桥梁、轨道交通及地下空间、山岭隧道、石油化工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等“高大精尖”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领域均拥有多项核心技术。同时，积极探索建筑4.0时代，在BIM技术、绿色建造、建筑工业化等行业前沿逐渐形成比较优势。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我们积极承担社会责任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建三局三公司脱胎于解放军工程兵，始终传承争先品格，赓续军魂血脉，在时代浪潮的洗礼中前进。从投身“一五”“二五”计划和“三线建设”，在火红年代锻造红色基因；到逐浪改革大潮，在市场熔炉铸就争先品格；再到参与“两山”医院建设，在抗疫一线淬炼初心本色。10天建成火神山医院，12天建成雷神山医院，历时100天和86天完成全球首个新冠疫苗研发实验室和生产车间建设任务，援建多地方舱医院，以生命赴使命，用平凡筑不凡。近70年来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公司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积极承担社会责任，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荣获全国文明单位、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全国五一劳动奖状、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全国守合同重信用企业、全国用户满意施工企业、全国优秀施工企业、全国建筑业AAA信用企业、中国建筑业竞争力200强企业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中央企业先进基层党组织、首批全国建筑业文化建设示范企业、中建集团抗击新冠肺炎疫情先进单位和党组织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等称号。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、人才培养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1.健全完善的培养体系，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进步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有平台。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做好</w:t>
      </w:r>
      <w:r>
        <w:rPr>
          <w:rFonts w:hint="default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3项重要工作，见习期全过程护航，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新员工入职培训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、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轮岗培养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、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转正定级和专业技术认定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，</w:t>
      </w:r>
      <w:r>
        <w:rPr>
          <w:rFonts w:hint="default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萌新不迷茫</w:t>
      </w:r>
      <w:r>
        <w:rPr>
          <w:rFonts w:hint="eastAsia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。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塑强</w:t>
      </w:r>
      <w:r>
        <w:rPr>
          <w:rFonts w:hint="default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1项品牌计划，中长期全方位规划，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1-3年“卫星青年”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、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4-6年“行星青年”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、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7-9年“恒星青年”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，</w:t>
      </w:r>
      <w:r>
        <w:rPr>
          <w:rFonts w:hint="default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发展不偏航。</w:t>
      </w:r>
      <w:r>
        <w:rPr>
          <w:rFonts w:hint="eastAsia" w:ascii="仿宋_GB2312" w:hAnsi="宋体" w:eastAsia="仿宋_GB2312" w:cs="宋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  <w:t>贯穿2项保障工作，高质量全环节培养，</w:t>
      </w:r>
      <w:r>
        <w:rPr>
          <w:rFonts w:hint="eastAsia" w:ascii="仿宋_GB2312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落实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“师带徒”培养、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上线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“我想对你说”网上留言板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宋体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前行不孤独。</w:t>
      </w:r>
      <w:r>
        <w:rPr>
          <w:rFonts w:hint="eastAsia" w:ascii="仿宋_GB2312" w:hAnsi="宋体" w:eastAsia="仿宋_GB2312" w:cs="宋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  <w:t>配备丰富的学习资源，</w:t>
      </w:r>
      <w:r>
        <w:rPr>
          <w:rFonts w:hint="eastAsia" w:ascii="仿宋_GB2312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开展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“雷霆战将”培训计划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，上线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“EBPM流程管理系统”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，搭建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“三公司云学堂”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宋体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为发展赋能</w:t>
      </w:r>
      <w:r>
        <w:rPr>
          <w:rFonts w:hint="eastAsia" w:ascii="仿宋_GB2312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24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  <w:t>2.精干有为的管理团队，同行有良师。</w:t>
      </w:r>
    </w:p>
    <w:p>
      <w:pPr>
        <w:keepNext w:val="0"/>
        <w:keepLines w:val="0"/>
        <w:pageBreakBefore w:val="0"/>
        <w:tabs>
          <w:tab w:val="left" w:pos="24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" w:firstLineChars="200"/>
        <w:jc w:val="both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公司聚焦职业化团队建设，培育注册一级建筑师、注册结构工程师、注册土木工程师、注册岩土工程师、注册公用设备工程师、注册电气工程师、注册一级建造师、注册安全工程师、注册造价工程师等近2000人，工程师、经济师、政工师、会计师等序列高质量团队与你同行，公司组织免费的考证培训、发放丰厚的取证津贴、执业津贴，给足资源培育精英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.舞台广阔的发展路径，成长有空间。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你的才华，有足够的舞台绽放。全产业链布局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投资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设计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总承包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建造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运营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业务多元发展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高端房建、基础设施（市政道路、大型桥梁、机场站房、轨道交通）、专业建造（高端机电安装、工业厂房、高级装饰、石油化工）、国际业务、设计业务、投融资业务、融建业务、绿色产业、建筑科技产业化；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管理岗位充足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1个第二总部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17个二级机构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数百个项目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有大量机会在不同业务领域、各类项目、各级总部之间流动发展。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你的专业，有畅通的路径施展。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员工在一定的管理职务等级之下，具备一定专业能力后，可以在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运营管理类通道、专家顾问类通道2大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类职业通道并行发展，也可选择在专家顾问类通道单通道发展。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.任人唯贤的用人机制，发展有奔头。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新员工入职经过见习期1年时间转正，研究生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和一定比例的本科生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提前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半年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转正。晋升提拔主要通过公开竞聘、轮岗交流、内部招聘、干部考察等方式开展，公平公正公开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优秀者优先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有为者有位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能干者能上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5.和谐有爱的文化活动，生活有乐趣。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领导关怀、同事有爱，多类多项人文活动帮助职工劳逸结合、快乐生活，涵盖篮球、足球、乒乓球、游泳等各类体育活动，书画比赛、征文活动、文艺表演、知识竞赛、演讲比赛等各类文艺活动，优质单位联谊、志愿服务等公益活动，涵养豪气锐气灵气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、经营区域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工作地点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eastAsia="zh-CN"/>
        </w:rPr>
        <w:t>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局和公司总部均位于湖北武汉，公司经营区域覆盖全国，市场触角延展海外，17家分支机构和数百个项目覆盖华中、京津冀、长三角、大湾区、成渝经济圈五大热点区域，辐射周边30余个省市区，海外培育环地中海、东南亚、南亚、中西非、中东区域市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京津冀及周边地区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辐射北京、天津、山东、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河北、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山西、陕西等地区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华中及周边地区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辐射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湖北、湖南、江西、安徽、河南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等地区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大湾区及周边地区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：辐射广东、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广西、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海南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福建等地区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长三角及周边地区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：辐射浙江、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上海、江苏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等地区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成渝经济圈及周边地区：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辐射重庆、四川、云南、贵州等地区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ascii="仿宋_GB2312" w:eastAsia="仿宋_GB2312"/>
          <w:color w:val="333333"/>
          <w:spacing w:val="-6"/>
          <w:sz w:val="30"/>
          <w:szCs w:val="30"/>
        </w:rPr>
        <w:t>海外：阿尔及利亚、马来西亚、印度、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印度尼西亚、</w:t>
      </w:r>
      <w:r>
        <w:rPr>
          <w:rFonts w:ascii="仿宋_GB2312" w:eastAsia="仿宋_GB2312"/>
          <w:color w:val="333333"/>
          <w:spacing w:val="-6"/>
          <w:sz w:val="30"/>
          <w:szCs w:val="30"/>
        </w:rPr>
        <w:t>刚果（金）等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、薪酬待遇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稳定多元的薪酬福利体系，口袋有保障。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1.工资：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岗位工资+职级工资；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2.奖金：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季度绩效奖+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各类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专项奖；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3.津贴：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生活类津补贴：住房补贴+伙食补贴+通讯补贴+防寒津贴+防暑津贴+远征津贴+艰苦津贴+过节费+其他津贴；工作类津补贴：年功津贴+专业职级津贴+执业资格津贴+外语津贴；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4.福利：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六险二金（五险一金+补充医疗保险+企业年金）+各项福利（包吃住+节日慰问+生日礼物+免费工装+带薪休假+岗前培训+在职培训+免费体检+集体婚礼+购房福利+其他福利）；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5.休假制度：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双休、年假、婚假、产假、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调休假、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探亲假等；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6.总收入：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第一年税后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10-14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万，第二年税后12-17万（不含执业资格津贴和专项奖）。博士研究生等高层</w:t>
      </w:r>
      <w:bookmarkStart w:id="0" w:name="_GoBack"/>
      <w:bookmarkEnd w:id="0"/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次人才“一人一议”。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78" w:firstLineChars="200"/>
        <w:rPr>
          <w:rFonts w:ascii="仿宋_GB2312" w:eastAsia="仿宋_GB2312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六、需求专业</w:t>
      </w:r>
    </w:p>
    <w:tbl>
      <w:tblPr>
        <w:tblStyle w:val="6"/>
        <w:tblW w:w="845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294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岗位分类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土木工程、工程管理、工程力学、结构工程、装饰施工技术、</w:t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道路桥梁与渡河工程、铁道工程、城市地下空间工程、交通工程</w:t>
            </w:r>
            <w:r>
              <w:rPr>
                <w:rStyle w:val="1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土木工程、工程管理、工程造价等相关专业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土木工程、工程管理、工程力学、结构工程、装饰施工技术、</w:t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道路桥梁与渡河工程、铁道工程、城市地下空间工程、交通工程</w:t>
            </w:r>
            <w:r>
              <w:rPr>
                <w:rStyle w:val="14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BIM工程师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土木工程（BIM相关方向）、智能建造等相关专业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建筑智能装备研发工程师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工程力学、结构工程、机械设计制造及其自动化、自动化等相关专业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土木工程、建筑学等相关专业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道桥方向工程师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道路桥梁与渡河工程、</w:t>
            </w:r>
            <w:r>
              <w:rPr>
                <w:rStyle w:val="15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水利水电工程、铁道工程、交通工程</w:t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地下工程方向工程师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城市地下空间工程等相关专业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水务环保方向工程师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水务工程、港口航道与治河工程、水政水资源管理、水利工程造价等相关专业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暖通工程师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建筑环境与能源应用工程等相关专业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给排水工程师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给排水科学与工程等相关专业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机械电气工程师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电气工程及其自动化、建筑电气与智能化等相关专业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仪表电气工程师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过程控制与装备工程、材料成型及控制工程等相关专业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工艺管道工程师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焊接技术与工程、化学工艺与工程等相关专业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罐装储运工程师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油气储运等相关专业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装饰装修工程师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土木工程、装饰施工技术等相关专业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钢筋翻样工程师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土木工程、工程管理、工程造价等相关专业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土木工程、工程管理、工程监理、工程力学等相关专业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土木工程、安全工程等相关专业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物资管理工程师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土木工程、工程管理、物流管理、供应链管理、电子商务等相关专业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土木工程、工程管理、机械设计制造及其自动化、机械工程/机械电子工程、电子工程及其自动化、过程装备与控制工程等相关专业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测量管理工程师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土木工程、测控技术与仪器、测绘工程等相关专业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试验管理工程师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土木工程、工程管理、工程力学、结构工程等相关专业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资料管理工程师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土木工程、工程管理、档案学等相关专业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党建宣传岗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马克思主义理论、思想政治教育、汉语言文学、新闻学、传播学、网络与新媒体、</w:t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</w:t>
            </w:r>
            <w:r>
              <w:rPr>
                <w:rStyle w:val="15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行政管理、公共管理、政治学与行政学、社会学、社会工作、马克思主义理论、思想政治教育、汉语言文学等相关专业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人力资源管理、劳动关系与社会保障、工商管理等相关专业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法务岗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信息化管理岗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计算机科学与技术、信息与计算机科学、软件工程等相关专业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市场营销岗（后备）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公共关系学、市场营销、投资学、工商管理、土木工程、工程造价、工程管理等相关专业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纪检监察岗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法律硕士（监察法方向）等相关专业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投融资管理岗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投资学、经济学、金融学、经济统计学、应用统计学、统计学等相关专业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ind w:firstLine="578" w:firstLineChars="200"/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七、应聘条件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1.学历及院校：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2023届统招本科及以上学历应届毕业生；国内重点高校、传统建筑强校、全球知名院校。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2.学习成绩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：在校学习成绩良好，专业课程无补考；本科生英语四级以上、研究生英语六级以上水平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3.综合素质：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身心健康；具有较强的沟通表达和组织协调能力；具有较强的责任担当、务实作风、团队精神；具有较强的意愿和企业认同感。同等条件下，中共党员，有学生会、社团等学生工作任职经历，有相关社会实践或企业实习经历，各类荣誉获得者，有文艺、体育特长者优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八、应聘流程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简历投递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中建三局三公司2023届校园招聘专属网申通道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131445</wp:posOffset>
            </wp:positionV>
            <wp:extent cx="2286000" cy="2286000"/>
            <wp:effectExtent l="0" t="0" r="0" b="0"/>
            <wp:wrapTopAndBottom/>
            <wp:docPr id="1" name="图片 1" descr="招聘简章简历投递入口-2022-09-01-2023-05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章简历投递入口-2022-09-01-2023-05-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2.线上考试：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参加中建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集团2023届校园招聘统一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线上考试，取得网测成绩。（考试注意事项及二测排期详见中建三局三公司招聘官网“校园招聘-中建测评”版块）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3.初试：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简历筛选后确定初试名单（以工作人员电话、短信、邮箱通知为准），进入初试环节。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4.复试：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初试之后确定复试名单（以工作人员电话、短信、邮箱通知为准），进入复试环节。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5.录用：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复试通过、网测成绩合格人员，沟通确定录用意向，发放offer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签订三方协议书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九、联系方式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联系电话：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027-87426259（侯经理）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联系邮箱：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"mailto:cscec3b3zhaopin@cscec.com" </w:instrTex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t>cscec3b3zhaopin@cscec.com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不接收简历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default" w:ascii="仿宋_GB2312" w:eastAsia="仿宋_GB2312"/>
          <w:color w:val="000000" w:themeColor="text1"/>
          <w:spacing w:val="-6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联系QQ：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376222125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QQ群：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2023CSCEC3B3校园招聘资讯（852568947）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联系地址：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湖北省武汉市洪山区关南园路2号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公司招聘官网：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instrText xml:space="preserve"> HYPERLINK "http://campus.51job.com/cscec3b3" </w:instrText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fldChar w:fldCharType="separate"/>
      </w:r>
      <w:r>
        <w:rPr>
          <w:rStyle w:val="9"/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t>http://campus.51job.com/cscec3b3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YwMGE0M2VjYTBhZWEzMzE2NWQxOWQ5NDEwYzIifQ=="/>
  </w:docVars>
  <w:rsids>
    <w:rsidRoot w:val="00846E49"/>
    <w:rsid w:val="00016D16"/>
    <w:rsid w:val="001178FD"/>
    <w:rsid w:val="0016635B"/>
    <w:rsid w:val="001F1DD3"/>
    <w:rsid w:val="00203ED8"/>
    <w:rsid w:val="00263804"/>
    <w:rsid w:val="002A5A1A"/>
    <w:rsid w:val="00424188"/>
    <w:rsid w:val="00564606"/>
    <w:rsid w:val="00653D68"/>
    <w:rsid w:val="006A0049"/>
    <w:rsid w:val="006D40F3"/>
    <w:rsid w:val="00763135"/>
    <w:rsid w:val="00780265"/>
    <w:rsid w:val="007F7DF3"/>
    <w:rsid w:val="00822CFC"/>
    <w:rsid w:val="00846E49"/>
    <w:rsid w:val="008A1F21"/>
    <w:rsid w:val="00980EE8"/>
    <w:rsid w:val="009A339B"/>
    <w:rsid w:val="009B39AC"/>
    <w:rsid w:val="00A00C6E"/>
    <w:rsid w:val="00A263A3"/>
    <w:rsid w:val="00A41AD7"/>
    <w:rsid w:val="00A81880"/>
    <w:rsid w:val="00AB6952"/>
    <w:rsid w:val="00B0417F"/>
    <w:rsid w:val="00B13F6D"/>
    <w:rsid w:val="00B35895"/>
    <w:rsid w:val="00C10BEA"/>
    <w:rsid w:val="00CF6584"/>
    <w:rsid w:val="00D96A56"/>
    <w:rsid w:val="00EE313E"/>
    <w:rsid w:val="00F0389E"/>
    <w:rsid w:val="00F64B04"/>
    <w:rsid w:val="00FB5515"/>
    <w:rsid w:val="02330565"/>
    <w:rsid w:val="02CE2715"/>
    <w:rsid w:val="03194949"/>
    <w:rsid w:val="05F733E7"/>
    <w:rsid w:val="09592253"/>
    <w:rsid w:val="09D903E5"/>
    <w:rsid w:val="10DD78A2"/>
    <w:rsid w:val="121635AA"/>
    <w:rsid w:val="12A11807"/>
    <w:rsid w:val="160F3F3D"/>
    <w:rsid w:val="163775C2"/>
    <w:rsid w:val="16F543FB"/>
    <w:rsid w:val="17D4052F"/>
    <w:rsid w:val="199B6470"/>
    <w:rsid w:val="1C7F3E27"/>
    <w:rsid w:val="1CD15D0E"/>
    <w:rsid w:val="1EED5A3F"/>
    <w:rsid w:val="223E5439"/>
    <w:rsid w:val="241C7858"/>
    <w:rsid w:val="250F20C5"/>
    <w:rsid w:val="25763CC6"/>
    <w:rsid w:val="26FA00E5"/>
    <w:rsid w:val="28922002"/>
    <w:rsid w:val="28EE2FAB"/>
    <w:rsid w:val="29393B87"/>
    <w:rsid w:val="299E7ADD"/>
    <w:rsid w:val="2A4E1DD4"/>
    <w:rsid w:val="2AFF08B6"/>
    <w:rsid w:val="2BA14DD0"/>
    <w:rsid w:val="2F4E1907"/>
    <w:rsid w:val="326728A0"/>
    <w:rsid w:val="34030527"/>
    <w:rsid w:val="34F24934"/>
    <w:rsid w:val="354013AD"/>
    <w:rsid w:val="354B497D"/>
    <w:rsid w:val="37870FE8"/>
    <w:rsid w:val="38132099"/>
    <w:rsid w:val="39E736AA"/>
    <w:rsid w:val="3A5F3E86"/>
    <w:rsid w:val="3B486375"/>
    <w:rsid w:val="3C272A8B"/>
    <w:rsid w:val="3C844287"/>
    <w:rsid w:val="3CB21F73"/>
    <w:rsid w:val="3FDF6807"/>
    <w:rsid w:val="42845F35"/>
    <w:rsid w:val="432307D2"/>
    <w:rsid w:val="453B0AB3"/>
    <w:rsid w:val="477D49AC"/>
    <w:rsid w:val="489561E7"/>
    <w:rsid w:val="495D50A2"/>
    <w:rsid w:val="518B7B56"/>
    <w:rsid w:val="52EA5CAB"/>
    <w:rsid w:val="5C55745B"/>
    <w:rsid w:val="5D674301"/>
    <w:rsid w:val="5F745326"/>
    <w:rsid w:val="60FE5038"/>
    <w:rsid w:val="614E63AD"/>
    <w:rsid w:val="61ED241A"/>
    <w:rsid w:val="6A552126"/>
    <w:rsid w:val="6C265E4A"/>
    <w:rsid w:val="6E7076FF"/>
    <w:rsid w:val="6EAA6254"/>
    <w:rsid w:val="73974518"/>
    <w:rsid w:val="74AC5783"/>
    <w:rsid w:val="74FC103F"/>
    <w:rsid w:val="7686689B"/>
    <w:rsid w:val="76FF0585"/>
    <w:rsid w:val="78167D41"/>
    <w:rsid w:val="78354D73"/>
    <w:rsid w:val="7BF76B79"/>
    <w:rsid w:val="7DB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basedOn w:val="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4244</Words>
  <Characters>4461</Characters>
  <Lines>23</Lines>
  <Paragraphs>6</Paragraphs>
  <TotalTime>360</TotalTime>
  <ScaleCrop>false</ScaleCrop>
  <LinksUpToDate>false</LinksUpToDate>
  <CharactersWithSpaces>4462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2021-08-19T23:04:00Z</dcterms:created>
  <dc:creator>hou_official</dc:creator>
  <cp:lastModifiedBy>宋舒聪</cp:lastModifiedBy>
  <cp:lastPrinted>2021-08-24T03:10:00Z</cp:lastPrinted>
  <dcterms:modified xsi:type="dcterms:W3CDTF">2022-10-01T03:00:23Z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_DocHome">
    <vt:i4>921132760</vt:i4>
  </property>
  <property fmtid="{D5CDD505-2E9C-101B-9397-08002B2CF9AE}" pid="4" name="ICV">
    <vt:lpwstr>0FC39CEB61D845A994641572E781E0A1</vt:lpwstr>
  </property>
</Properties>
</file>